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tbl>
      <w:tblPr>
        <w:tblStyle w:val="7"/>
        <w:tblW w:w="8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846"/>
        <w:gridCol w:w="1608"/>
        <w:gridCol w:w="1129"/>
        <w:gridCol w:w="1256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2" w:type="dxa"/>
            <w:shd w:val="pct10" w:color="auto" w:fill="auto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</w:rPr>
            </w:pPr>
            <w:bookmarkStart w:id="0" w:name="_Toc410753667"/>
            <w:bookmarkStart w:id="1" w:name="_Toc382843931"/>
            <w:bookmarkStart w:id="2" w:name="_Toc383181019"/>
            <w:bookmarkStart w:id="3" w:name="_Toc382843756"/>
            <w:bookmarkStart w:id="4" w:name="_Toc58378112"/>
            <w:bookmarkStart w:id="5" w:name="_Toc18304022"/>
            <w:bookmarkStart w:id="6" w:name="_Toc410752932"/>
            <w:bookmarkStart w:id="7" w:name="_Toc14057313"/>
            <w:r>
              <w:rPr>
                <w:rFonts w:hint="eastAsia" w:ascii="宋体" w:hAnsi="宋体" w:eastAsia="宋体"/>
              </w:rPr>
              <w:t>需求名称</w:t>
            </w:r>
          </w:p>
        </w:tc>
        <w:tc>
          <w:tcPr>
            <w:tcW w:w="7396" w:type="dxa"/>
            <w:gridSpan w:val="5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《泰康健康尊享</w:t>
            </w:r>
            <w:r>
              <w:rPr>
                <w:rFonts w:hint="default" w:ascii="宋体" w:hAnsi="宋体" w:eastAsia="宋体"/>
                <w:lang w:val="en-US" w:eastAsia="zh-CN"/>
              </w:rPr>
              <w:t>A</w:t>
            </w:r>
            <w:r>
              <w:rPr>
                <w:rFonts w:hint="eastAsia" w:ascii="宋体" w:hAnsi="宋体" w:eastAsia="宋体"/>
                <w:lang w:val="en-US" w:eastAsia="zh-CN"/>
              </w:rPr>
              <w:t>款门诊医疗保险》官网展示内容变更的</w:t>
            </w:r>
            <w:r>
              <w:rPr>
                <w:rFonts w:ascii="宋体" w:hAnsi="宋体" w:eastAsia="宋体"/>
                <w:lang w:val="en-US" w:eastAsia="zh-CN"/>
              </w:rPr>
              <w:t>需求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2" w:type="dxa"/>
            <w:shd w:val="pct10" w:color="auto" w:fill="auto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需求来源</w:t>
            </w:r>
          </w:p>
        </w:tc>
        <w:tc>
          <w:tcPr>
            <w:tcW w:w="3583" w:type="dxa"/>
            <w:gridSpan w:val="3"/>
            <w:vAlign w:val="center"/>
          </w:tcPr>
          <w:p>
            <w:pPr>
              <w:pStyle w:val="13"/>
              <w:ind w:firstLine="0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1256" w:type="dxa"/>
            <w:shd w:val="clear" w:color="auto" w:fill="D9D9D9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期望上线</w:t>
            </w:r>
          </w:p>
        </w:tc>
        <w:tc>
          <w:tcPr>
            <w:tcW w:w="2557" w:type="dxa"/>
            <w:vAlign w:val="center"/>
          </w:tcPr>
          <w:p>
            <w:pPr>
              <w:pStyle w:val="13"/>
              <w:ind w:firstLine="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2023-06-20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2" w:type="dxa"/>
            <w:shd w:val="pct10" w:color="auto" w:fill="auto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相关部门（业务部门）</w:t>
            </w:r>
          </w:p>
        </w:tc>
        <w:tc>
          <w:tcPr>
            <w:tcW w:w="7396" w:type="dxa"/>
            <w:gridSpan w:val="5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808" w:type="dxa"/>
            <w:gridSpan w:val="6"/>
            <w:shd w:val="pct10" w:color="auto" w:fill="auto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修 订 历 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12" w:type="dxa"/>
            <w:shd w:val="pct10" w:color="auto" w:fill="auto"/>
            <w:vAlign w:val="center"/>
          </w:tcPr>
          <w:p>
            <w:pPr>
              <w:pStyle w:val="13"/>
              <w:ind w:firstLine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版本</w:t>
            </w:r>
          </w:p>
        </w:tc>
        <w:tc>
          <w:tcPr>
            <w:tcW w:w="846" w:type="dxa"/>
            <w:shd w:val="pct10" w:color="auto" w:fill="auto"/>
            <w:vAlign w:val="center"/>
          </w:tcPr>
          <w:p>
            <w:pPr>
              <w:pStyle w:val="13"/>
              <w:ind w:firstLine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类型</w:t>
            </w:r>
          </w:p>
        </w:tc>
        <w:tc>
          <w:tcPr>
            <w:tcW w:w="1608" w:type="dxa"/>
            <w:shd w:val="pct10" w:color="auto" w:fill="auto"/>
            <w:vAlign w:val="center"/>
          </w:tcPr>
          <w:p>
            <w:pPr>
              <w:pStyle w:val="13"/>
              <w:ind w:firstLine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日期</w:t>
            </w:r>
          </w:p>
        </w:tc>
        <w:tc>
          <w:tcPr>
            <w:tcW w:w="1129" w:type="dxa"/>
            <w:shd w:val="pct10" w:color="auto" w:fill="auto"/>
            <w:vAlign w:val="center"/>
          </w:tcPr>
          <w:p>
            <w:pPr>
              <w:pStyle w:val="13"/>
              <w:ind w:firstLine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作 者</w:t>
            </w:r>
          </w:p>
        </w:tc>
        <w:tc>
          <w:tcPr>
            <w:tcW w:w="1256" w:type="dxa"/>
            <w:shd w:val="pct10" w:color="auto" w:fill="auto"/>
            <w:vAlign w:val="center"/>
          </w:tcPr>
          <w:p>
            <w:pPr>
              <w:pStyle w:val="13"/>
              <w:ind w:firstLine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审核</w:t>
            </w:r>
          </w:p>
        </w:tc>
        <w:tc>
          <w:tcPr>
            <w:tcW w:w="2557" w:type="dxa"/>
            <w:shd w:val="pct10" w:color="auto" w:fill="auto"/>
            <w:vAlign w:val="center"/>
          </w:tcPr>
          <w:p>
            <w:pPr>
              <w:pStyle w:val="13"/>
              <w:ind w:firstLine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12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V1.0.0</w:t>
            </w:r>
          </w:p>
        </w:tc>
        <w:tc>
          <w:tcPr>
            <w:tcW w:w="846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</w:rPr>
              <w:t>Create</w:t>
            </w:r>
          </w:p>
        </w:tc>
        <w:tc>
          <w:tcPr>
            <w:tcW w:w="1608" w:type="dxa"/>
            <w:vAlign w:val="center"/>
          </w:tcPr>
          <w:p>
            <w:pPr>
              <w:pStyle w:val="13"/>
              <w:ind w:firstLine="0" w:firstLineChars="0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2023.06.08</w:t>
            </w:r>
          </w:p>
        </w:tc>
        <w:tc>
          <w:tcPr>
            <w:tcW w:w="1129" w:type="dxa"/>
            <w:vAlign w:val="center"/>
          </w:tcPr>
          <w:p>
            <w:pPr>
              <w:pStyle w:val="13"/>
              <w:ind w:firstLine="0" w:firstLineChars="0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杨喜爱</w:t>
            </w:r>
          </w:p>
        </w:tc>
        <w:tc>
          <w:tcPr>
            <w:tcW w:w="1256" w:type="dxa"/>
            <w:vAlign w:val="center"/>
          </w:tcPr>
          <w:p>
            <w:pPr>
              <w:pStyle w:val="13"/>
              <w:ind w:firstLine="0" w:firstLineChars="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57" w:type="dxa"/>
            <w:vAlign w:val="center"/>
          </w:tcPr>
          <w:p>
            <w:pPr>
              <w:pStyle w:val="13"/>
              <w:ind w:firstLine="0"/>
              <w:rPr>
                <w:rFonts w:ascii="宋体" w:hAnsi="宋体" w:eastAsia="宋体"/>
              </w:rPr>
            </w:pPr>
          </w:p>
        </w:tc>
      </w:tr>
    </w:tbl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82939"/>
        <w15:color w:val="DBDBDB"/>
        <w:docPartObj>
          <w:docPartGallery w:val="Table of Contents"/>
          <w:docPartUnique/>
        </w:docPartObj>
      </w:sdtPr>
      <w:sdtEnd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sz w:val="21"/>
            </w:rPr>
          </w:pPr>
          <w:r>
            <w:rPr>
              <w:rFonts w:ascii="宋体" w:hAnsi="宋体" w:eastAsia="宋体"/>
              <w:sz w:val="21"/>
            </w:rPr>
            <w:t>目</w:t>
          </w:r>
          <w:r>
            <w:rPr>
              <w:rFonts w:hint="eastAsia" w:ascii="宋体" w:hAnsi="宋体" w:eastAsia="宋体"/>
              <w:sz w:val="21"/>
              <w:lang w:val="en-US" w:eastAsia="zh-CN"/>
            </w:rPr>
            <w:t xml:space="preserve">  </w:t>
          </w:r>
          <w:r>
            <w:rPr>
              <w:rFonts w:ascii="宋体" w:hAnsi="宋体" w:eastAsia="宋体"/>
              <w:sz w:val="21"/>
            </w:rPr>
            <w:t>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both"/>
            <w:rPr>
              <w:rFonts w:ascii="宋体" w:hAnsi="宋体" w:eastAsia="宋体"/>
              <w:sz w:val="21"/>
            </w:rPr>
          </w:pP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 w:asciiTheme="minorEastAsia" w:hAnsiTheme="minorEastAsia" w:eastAsiaTheme="minorEastAsia" w:cstheme="minorEastAsia"/>
              <w:sz w:val="21"/>
              <w:szCs w:val="21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1"/>
              <w:szCs w:val="21"/>
              <w:lang w:val="en-US" w:eastAsia="zh-CN"/>
            </w:rPr>
            <w:instrText xml:space="preserve">TOC \o "1-3" \h \u </w:instrText>
          </w:r>
          <w:r>
            <w:rPr>
              <w:rFonts w:hint="eastAsia" w:asciiTheme="minorEastAsia" w:hAnsiTheme="minorEastAsia" w:eastAsiaTheme="minorEastAsia" w:cstheme="minorEastAsia"/>
              <w:sz w:val="21"/>
              <w:szCs w:val="21"/>
              <w:lang w:val="en-US" w:eastAsia="zh-CN"/>
            </w:rPr>
            <w:fldChar w:fldCharType="separate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instrText xml:space="preserve"> HYPERLINK \l _Toc10461 </w:instrText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rPr>
              <w:rFonts w:hint="eastAsia"/>
            </w:rPr>
            <w:t>需求概述</w:t>
          </w:r>
          <w:r>
            <w:tab/>
          </w:r>
          <w:r>
            <w:fldChar w:fldCharType="begin"/>
          </w:r>
          <w:r>
            <w:instrText xml:space="preserve"> PAGEREF _Toc10461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instrText xml:space="preserve"> HYPERLINK \l _Toc15632 </w:instrText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separate"/>
          </w:r>
          <w:r>
            <w:rPr>
              <w:rFonts w:hint="default"/>
            </w:rPr>
            <w:t xml:space="preserve">1.1. </w:t>
          </w:r>
          <w:r>
            <w:rPr>
              <w:rFonts w:hint="eastAsia"/>
              <w:lang w:val="en-US" w:eastAsia="zh-CN"/>
            </w:rPr>
            <w:t xml:space="preserve"> </w:t>
          </w:r>
          <w:r>
            <w:rPr>
              <w:rFonts w:hint="eastAsia"/>
            </w:rPr>
            <w:t>业务背景及目标</w:t>
          </w:r>
          <w:r>
            <w:tab/>
          </w:r>
          <w:r>
            <w:fldChar w:fldCharType="begin"/>
          </w:r>
          <w:r>
            <w:instrText xml:space="preserve"> PAGEREF _Toc15632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end"/>
          </w:r>
        </w:p>
        <w:p>
          <w:pPr>
            <w:pStyle w:val="4"/>
            <w:tabs>
              <w:tab w:val="right" w:leader="dot" w:pos="8306"/>
            </w:tabs>
          </w:pP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instrText xml:space="preserve"> HYPERLINK \l _Toc13987 </w:instrText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separate"/>
          </w:r>
          <w:r>
            <w:rPr>
              <w:rFonts w:hint="default"/>
              <w:lang w:eastAsia="zh-CN"/>
            </w:rPr>
            <w:t xml:space="preserve">2. </w:t>
          </w:r>
          <w:r>
            <w:rPr>
              <w:rFonts w:hint="eastAsia"/>
            </w:rPr>
            <w:t>功能说明</w:t>
          </w:r>
          <w:r>
            <w:tab/>
          </w:r>
          <w:r>
            <w:fldChar w:fldCharType="begin"/>
          </w:r>
          <w:r>
            <w:instrText xml:space="preserve"> PAGEREF _Toc13987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instrText xml:space="preserve"> HYPERLINK \l _Toc15000 </w:instrText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separate"/>
          </w:r>
          <w:r>
            <w:rPr>
              <w:rFonts w:hint="default"/>
              <w:lang w:val="en-US" w:eastAsia="zh-CN"/>
            </w:rPr>
            <w:t xml:space="preserve">2.1. </w:t>
          </w:r>
          <w:r>
            <w:rPr>
              <w:rFonts w:hint="eastAsia"/>
              <w:lang w:val="en-US" w:eastAsia="zh-CN"/>
            </w:rPr>
            <w:t>文字内容变更</w:t>
          </w:r>
          <w:r>
            <w:tab/>
          </w:r>
          <w:r>
            <w:fldChar w:fldCharType="begin"/>
          </w:r>
          <w:r>
            <w:instrText xml:space="preserve"> PAGEREF _Toc15000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end"/>
          </w:r>
        </w:p>
        <w:p>
          <w:pPr>
            <w:pStyle w:val="6"/>
            <w:tabs>
              <w:tab w:val="right" w:leader="dot" w:pos="8306"/>
            </w:tabs>
          </w:pP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instrText xml:space="preserve"> HYPERLINK \l _Toc25372 </w:instrText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separate"/>
          </w:r>
          <w:r>
            <w:rPr>
              <w:rFonts w:hint="default"/>
              <w:lang w:val="en-US" w:eastAsia="zh-CN"/>
            </w:rPr>
            <w:t xml:space="preserve">2.2. </w:t>
          </w:r>
          <w:r>
            <w:rPr>
              <w:rFonts w:hint="eastAsia"/>
              <w:lang w:val="en-US" w:eastAsia="zh-CN"/>
            </w:rPr>
            <w:t>线上药品清单变更</w:t>
          </w:r>
          <w:r>
            <w:tab/>
          </w:r>
          <w:r>
            <w:fldChar w:fldCharType="begin"/>
          </w:r>
          <w:r>
            <w:instrText xml:space="preserve"> PAGEREF _Toc25372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440" w:lineRule="exact"/>
            <w:ind w:left="0" w:leftChars="0" w:right="0" w:rightChars="0" w:firstLine="0" w:firstLineChars="0"/>
            <w:jc w:val="both"/>
            <w:textAlignment w:val="auto"/>
            <w:rPr>
              <w:rFonts w:hint="eastAsia"/>
              <w:lang w:val="en-US" w:eastAsia="zh-CN"/>
            </w:rPr>
          </w:pPr>
          <w:r>
            <w:rPr>
              <w:rFonts w:hint="eastAsia" w:asciiTheme="minorEastAsia" w:hAnsiTheme="minorEastAsia" w:eastAsiaTheme="minorEastAsia" w:cstheme="minorEastAsia"/>
              <w:szCs w:val="21"/>
              <w:lang w:val="en-US" w:eastAsia="zh-CN"/>
            </w:rPr>
            <w:fldChar w:fldCharType="end"/>
          </w:r>
        </w:p>
      </w:sdtContent>
    </w:sdt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</w:pPr>
    </w:p>
    <w:p>
      <w:pPr>
        <w:pStyle w:val="2"/>
        <w:bidi w:val="0"/>
        <w:ind w:left="432" w:leftChars="0" w:hanging="432" w:firstLineChars="0"/>
      </w:pPr>
      <w:bookmarkStart w:id="8" w:name="_Toc23319"/>
      <w:bookmarkStart w:id="9" w:name="_Toc10416"/>
      <w:bookmarkStart w:id="10" w:name="_Toc10461"/>
      <w:r>
        <w:rPr>
          <w:rFonts w:hint="eastAsia"/>
        </w:rPr>
        <w:t>需求概述</w:t>
      </w:r>
      <w:bookmarkEnd w:id="8"/>
      <w:bookmarkEnd w:id="9"/>
      <w:bookmarkEnd w:id="10"/>
      <w:bookmarkStart w:id="11" w:name="_Toc410752936"/>
      <w:bookmarkStart w:id="12" w:name="_Toc409138777"/>
      <w:bookmarkStart w:id="13" w:name="_Toc410135345"/>
      <w:bookmarkStart w:id="14" w:name="_Toc410753671"/>
    </w:p>
    <w:p>
      <w:pPr>
        <w:pStyle w:val="3"/>
        <w:bidi w:val="0"/>
        <w:spacing w:before="0" w:after="0" w:line="240" w:lineRule="auto"/>
        <w:ind w:left="0" w:leftChars="0" w:firstLine="0" w:firstLineChars="0"/>
      </w:pPr>
      <w:bookmarkStart w:id="15" w:name="_Toc28573"/>
      <w:bookmarkStart w:id="16" w:name="_Toc3883"/>
      <w:bookmarkStart w:id="17" w:name="_Toc15632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510540</wp:posOffset>
                </wp:positionV>
                <wp:extent cx="76200" cy="762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1354455" y="5685155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C00000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;margin-left:473.4pt;margin-top:40.2pt;height:6pt;width:6pt;z-index:251659264;mso-width-relative:page;mso-height-relative:page;" fillcolor="#FFFFFF [3201]" filled="t" stroked="f" coordsize="21600,21600" o:gfxdata="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4Ax0YdcA&#10;AAAJAQAADwAAAAAAAAABACAAAAAiAAAAZHJzL2Rvd25yZXYueG1sUEsBAhQAFAAAAAgAh07iQBNT&#10;RMtZAgAAogQAAA4AAAAAAAAAAQAgAAAAJgEAAGRycy9lMm9Eb2MueG1sUEsFBgAAAAAGAAYAWQEA&#10;APE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C00000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  <w:bookmarkStart w:id="18" w:name="_Toc11079"/>
      <w:bookmarkStart w:id="19" w:name="_Toc25783"/>
      <w:bookmarkStart w:id="20" w:name="_Toc9718"/>
      <w:r>
        <w:rPr>
          <w:rFonts w:hint="eastAsia"/>
        </w:rPr>
        <w:t>业务背景及目标</w:t>
      </w:r>
      <w:bookmarkEnd w:id="15"/>
      <w:bookmarkEnd w:id="16"/>
      <w:bookmarkEnd w:id="17"/>
      <w:bookmarkEnd w:id="18"/>
      <w:bookmarkEnd w:id="19"/>
      <w:bookmarkEnd w:id="20"/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12" w:lineRule="auto"/>
        <w:ind w:right="0"/>
        <w:jc w:val="both"/>
        <w:rPr>
          <w:rFonts w:hint="eastAsia" w:ascii="Calibri" w:hAnsi="Calibri" w:eastAsia="宋体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业务背景及实现目标</w:t>
      </w:r>
      <w:r>
        <w:rPr>
          <w:rFonts w:hint="eastAsia" w:ascii="宋体" w:hAnsi="宋体" w:eastAsia="宋体"/>
          <w:b/>
        </w:rPr>
        <w:t>：</w:t>
      </w:r>
      <w:r>
        <w:rPr>
          <w:rFonts w:hint="eastAsia" w:ascii="宋体" w:hAnsi="宋体" w:eastAsia="宋体"/>
          <w:b/>
          <w:lang w:val="en-US" w:eastAsia="zh-CN"/>
        </w:rPr>
        <w:t xml:space="preserve"> </w:t>
      </w: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泰康人寿官网双端—客户服务—查询服务—健康险产品信息”下，产品名称是“泰康健康尊享</w:t>
      </w:r>
      <w:r>
        <w:rPr>
          <w:rFonts w:hint="default" w:ascii="Calibri" w:hAnsi="Calibri" w:eastAsia="宋体" w:cs="Calibri"/>
          <w:b w:val="0"/>
          <w:bCs w:val="0"/>
          <w:kern w:val="2"/>
          <w:sz w:val="24"/>
          <w:szCs w:val="24"/>
          <w:lang w:val="en-US" w:eastAsia="zh-CN" w:bidi="ar"/>
        </w:rPr>
        <w:t>A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款门诊医疗保险”的展示内容， 变更两部分内容，一部分是文字内容、一部分是线上药品清单。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w:t>推进计划：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计划</w:t>
      </w:r>
      <w:r>
        <w:rPr>
          <w:rFonts w:hint="eastAsia" w:asciiTheme="minorEastAsia" w:hAnsiTheme="minorEastAsia" w:cstheme="minorEastAsia"/>
          <w:b w:val="0"/>
          <w:bCs/>
          <w:sz w:val="24"/>
          <w:szCs w:val="24"/>
          <w:lang w:val="en-US" w:eastAsia="zh-CN"/>
        </w:rPr>
        <w:t>2023年6月20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val="en-US" w:eastAsia="zh-CN"/>
        </w:rPr>
        <w:t>日上线</w:t>
      </w:r>
    </w:p>
    <w:bookmarkEnd w:id="11"/>
    <w:bookmarkEnd w:id="12"/>
    <w:bookmarkEnd w:id="13"/>
    <w:bookmarkEnd w:id="14"/>
    <w:p>
      <w:pPr>
        <w:pStyle w:val="2"/>
        <w:bidi w:val="0"/>
        <w:ind w:left="432" w:leftChars="0" w:hanging="432" w:firstLineChars="0"/>
        <w:rPr>
          <w:rFonts w:hint="eastAsia"/>
          <w:lang w:eastAsia="zh-CN"/>
        </w:rPr>
      </w:pPr>
      <w:bookmarkStart w:id="21" w:name="_Toc25206"/>
      <w:bookmarkStart w:id="22" w:name="_Toc22596"/>
      <w:bookmarkStart w:id="23" w:name="_Toc21787"/>
      <w:bookmarkStart w:id="24" w:name="_Toc15777"/>
      <w:bookmarkStart w:id="25" w:name="_Toc19779"/>
      <w:bookmarkStart w:id="26" w:name="_Toc13987"/>
      <w:r>
        <w:rPr>
          <w:rFonts w:hint="eastAsia"/>
        </w:rPr>
        <w:t>功能说明</w:t>
      </w:r>
      <w:bookmarkEnd w:id="21"/>
      <w:bookmarkEnd w:id="22"/>
      <w:bookmarkEnd w:id="23"/>
      <w:bookmarkEnd w:id="24"/>
      <w:bookmarkEnd w:id="25"/>
      <w:bookmarkEnd w:id="26"/>
    </w:p>
    <w:p>
      <w:pPr>
        <w:pStyle w:val="3"/>
        <w:bidi w:val="0"/>
        <w:ind w:left="575" w:leftChars="0" w:hanging="575" w:firstLineChars="0"/>
        <w:rPr>
          <w:rFonts w:hint="eastAsia"/>
          <w:lang w:val="en-US" w:eastAsia="zh-CN"/>
        </w:rPr>
      </w:pPr>
      <w:bookmarkStart w:id="27" w:name="_Toc15000"/>
      <w:r>
        <w:rPr>
          <w:rFonts w:hint="eastAsia"/>
          <w:lang w:val="en-US" w:eastAsia="zh-CN"/>
        </w:rPr>
        <w:t>文字内容变更</w:t>
      </w:r>
      <w:bookmarkEnd w:id="27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当前页面展示如下：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5265420" cy="1858010"/>
            <wp:effectExtent l="0" t="0" r="11430" b="8890"/>
            <wp:docPr id="2" name="图片 2" descr="43L6qbyG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3L6qbyGu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页面改版展示如下：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drawing>
          <wp:inline distT="0" distB="0" distL="114300" distR="114300">
            <wp:extent cx="5272405" cy="1746885"/>
            <wp:effectExtent l="0" t="0" r="4445" b="5715"/>
            <wp:docPr id="4" name="图片 4" descr="Hm8qoMuH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m8qoMuH0R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变更点：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条款信息说明文字内容：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7.11条约定的互联网药房指“九州通医药集团股份有限公司”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”变更为“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7.11条约定的互联网药房指“叮当快药科技集团有限公司”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其他不变</w:t>
      </w:r>
    </w:p>
    <w:p>
      <w:pPr>
        <w:pStyle w:val="3"/>
        <w:bidi w:val="0"/>
        <w:rPr>
          <w:rFonts w:hint="eastAsia"/>
          <w:lang w:val="en-US" w:eastAsia="zh-CN"/>
        </w:rPr>
      </w:pPr>
      <w:bookmarkStart w:id="28" w:name="_Toc25372"/>
      <w:r>
        <w:rPr>
          <w:rFonts w:hint="eastAsia"/>
          <w:lang w:val="en-US" w:eastAsia="zh-CN"/>
        </w:rPr>
        <w:t>线上药品清单变更</w:t>
      </w:r>
      <w:bookmarkEnd w:id="28"/>
    </w:p>
    <w:p>
      <w:pPr>
        <w:rPr>
          <w:rFonts w:hint="eastAsia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当前页面展示如下：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24680" cy="2688590"/>
            <wp:effectExtent l="0" t="0" r="13970" b="16510"/>
            <wp:docPr id="5" name="图片 5" descr="cEfrs5PK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Efrs5PKMZ"/>
                    <pic:cNvPicPr>
                      <a:picLocks noChangeAspect="1"/>
                    </pic:cNvPicPr>
                  </pic:nvPicPr>
                  <pic:blipFill>
                    <a:blip r:embed="rId6"/>
                    <a:srcRect t="9742"/>
                    <a:stretch>
                      <a:fillRect/>
                    </a:stretch>
                  </pic:blipFill>
                  <pic:spPr>
                    <a:xfrm>
                      <a:off x="0" y="0"/>
                      <a:ext cx="4424680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页面改版PC端展示如下：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4296410" cy="1889125"/>
            <wp:effectExtent l="0" t="0" r="8890" b="15875"/>
            <wp:docPr id="6" name="图片 6" descr="img_v2_e48df787-acc1-440d-8781-8c57966da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v2_e48df787-acc1-440d-8781-8c57966daeb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WAP端展示如下：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drawing>
          <wp:inline distT="0" distB="0" distL="114300" distR="114300">
            <wp:extent cx="3706495" cy="2820035"/>
            <wp:effectExtent l="0" t="0" r="8255" b="18415"/>
            <wp:docPr id="7" name="图片 7" descr="img_v2_2030c89b-959c-423e-ba23-e19f3a68b0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v2_2030c89b-959c-423e-ba23-e19f3a68b0a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6495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原规则不变：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商品名称，支持模糊查询；右侧【搜索】功能；输入商品名称，点击【搜索】，</w:t>
      </w:r>
    </w:p>
    <w:p>
      <w:pPr>
        <w:keepNext w:val="0"/>
        <w:keepLines w:val="0"/>
        <w:widowControl w:val="0"/>
        <w:numPr>
          <w:numId w:val="0"/>
        </w:numPr>
        <w:suppressLineNumbers w:val="0"/>
        <w:spacing w:before="0" w:beforeAutospacing="0" w:after="0" w:afterAutospacing="0" w:line="360" w:lineRule="auto"/>
        <w:ind w:right="0" w:rightChars="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若有结果，下方展示提示语“</w:t>
      </w:r>
      <w:r>
        <w:rPr>
          <w:rFonts w:hint="eastAsia" w:ascii="宋体" w:hAnsi="宋体" w:eastAsia="宋体" w:cs="宋体"/>
          <w:i w:val="0"/>
          <w:iCs w:val="0"/>
          <w:caps w:val="0"/>
          <w:color w:val="202124"/>
          <w:spacing w:val="0"/>
          <w:kern w:val="2"/>
          <w:sz w:val="24"/>
          <w:szCs w:val="24"/>
          <w:shd w:val="clear" w:fill="FFFFFF"/>
          <w:lang w:val="en-US" w:eastAsia="zh-CN" w:bidi="ar"/>
        </w:rPr>
        <w:t>已为您找到xx条信息，【返回】”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以及对应查询结果；若没有结果，展示提示语“</w:t>
      </w:r>
      <w:r>
        <w:rPr>
          <w:rFonts w:hint="eastAsia" w:ascii="宋体" w:hAnsi="宋体" w:eastAsia="宋体" w:cs="宋体"/>
          <w:i w:val="0"/>
          <w:iCs w:val="0"/>
          <w:caps w:val="0"/>
          <w:color w:val="202124"/>
          <w:spacing w:val="0"/>
          <w:kern w:val="2"/>
          <w:sz w:val="24"/>
          <w:szCs w:val="24"/>
          <w:shd w:val="clear" w:fill="FFFFFF"/>
          <w:lang w:val="en-US" w:eastAsia="zh-CN" w:bidi="ar"/>
        </w:rPr>
        <w:t>已为您找到0条信息，【返回】”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both"/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点击【返回】，展示全部内容。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查询结果：不分页展示，下拉展示更多内容；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维护方式：静态配置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0"/>
          <w:szCs w:val="30"/>
          <w:lang w:val="en-US" w:eastAsia="zh-CN"/>
        </w:rPr>
        <w:t>变更点：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默认状态下只展示查询条件；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查询结果字段展示</w:t>
      </w:r>
      <w:r>
        <w:rPr>
          <w:rFonts w:hint="default"/>
          <w:sz w:val="24"/>
          <w:szCs w:val="24"/>
          <w:lang w:val="en-US" w:eastAsia="zh-CN"/>
        </w:rPr>
        <w:t>包括商品名称、</w:t>
      </w:r>
      <w:r>
        <w:rPr>
          <w:rFonts w:hint="eastAsia"/>
          <w:sz w:val="24"/>
          <w:szCs w:val="24"/>
          <w:lang w:val="en-US" w:eastAsia="zh-CN"/>
        </w:rPr>
        <w:t>药品类别、</w:t>
      </w:r>
      <w:r>
        <w:rPr>
          <w:rFonts w:hint="default"/>
          <w:sz w:val="24"/>
          <w:szCs w:val="24"/>
          <w:lang w:val="en-US" w:eastAsia="zh-CN"/>
        </w:rPr>
        <w:t>包装规格</w:t>
      </w:r>
      <w:r>
        <w:rPr>
          <w:rFonts w:hint="eastAsia"/>
          <w:sz w:val="24"/>
          <w:szCs w:val="24"/>
          <w:lang w:val="en-US" w:eastAsia="zh-CN"/>
        </w:rPr>
        <w:t>；不展示“泰康健康尊享A款门诊医疗保险”</w:t>
      </w:r>
      <w:bookmarkStart w:id="29" w:name="_GoBack"/>
      <w:bookmarkEnd w:id="29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A2692"/>
    <w:multiLevelType w:val="multilevel"/>
    <w:tmpl w:val="9D5A2692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24B8A"/>
    <w:rsid w:val="27801050"/>
    <w:rsid w:val="29223D00"/>
    <w:rsid w:val="314036BD"/>
    <w:rsid w:val="3B127D1D"/>
    <w:rsid w:val="43923B90"/>
    <w:rsid w:val="4C503869"/>
    <w:rsid w:val="543E1B78"/>
    <w:rsid w:val="5E3B5EA7"/>
    <w:rsid w:val="647570FD"/>
    <w:rsid w:val="77586705"/>
    <w:rsid w:val="7BE44478"/>
    <w:rsid w:val="7F7B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432" w:hanging="432"/>
      <w:outlineLvl w:val="0"/>
    </w:pPr>
    <w:rPr>
      <w:rFonts w:ascii="黑体" w:eastAsia="黑体"/>
      <w:b/>
      <w:bCs/>
      <w:kern w:val="44"/>
      <w:sz w:val="36"/>
      <w:szCs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ind w:left="575" w:hanging="575"/>
      <w:outlineLvl w:val="1"/>
    </w:pPr>
    <w:rPr>
      <w:rFonts w:ascii="黑体" w:eastAsia="黑体" w:hAnsiTheme="majorHAnsi" w:cstheme="majorBidi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basedOn w:val="9"/>
    <w:qFormat/>
    <w:uiPriority w:val="0"/>
    <w:rPr>
      <w:vertAlign w:val="superscript"/>
    </w:rPr>
  </w:style>
  <w:style w:type="paragraph" w:customStyle="1" w:styleId="11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3">
    <w:name w:val="No Spacing"/>
    <w:qFormat/>
    <w:uiPriority w:val="1"/>
    <w:pPr>
      <w:widowControl w:val="0"/>
      <w:ind w:firstLine="420"/>
      <w:jc w:val="both"/>
    </w:pPr>
    <w:rPr>
      <w:rFonts w:ascii="楷体_GB2312" w:hAnsi="Times New Roman" w:eastAsia="楷体_GB2312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2023-02-20T05:47:00Z</dcterms:created>
  <dc:creator>itw_yangxa01</dc:creator>
  <cp:lastModifiedBy>itw_yangxa01</cp:lastModifiedBy>
  <dcterms:modified xsi:type="dcterms:W3CDTF">2023-06-08T08:10:27Z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37EAAFA4F4B84E62B57768424229B032</vt:lpwstr>
  </property>
</Properties>
</file>